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9D0D2" w14:textId="77777777" w:rsidR="008C6887" w:rsidRDefault="00DF71BB">
      <w:pPr>
        <w:spacing w:after="0" w:line="259" w:lineRule="auto"/>
        <w:ind w:left="0" w:right="52" w:firstLine="0"/>
        <w:jc w:val="center"/>
      </w:pPr>
      <w:r>
        <w:rPr>
          <w:b/>
        </w:rPr>
        <w:t xml:space="preserve">RESUMEN EJECUTIVO </w:t>
      </w:r>
    </w:p>
    <w:p w14:paraId="208B5A93" w14:textId="77777777" w:rsidR="00AC3BAD" w:rsidRPr="00AC3BAD" w:rsidRDefault="00AC3BAD" w:rsidP="00AC3BAD">
      <w:pPr>
        <w:suppressAutoHyphens/>
        <w:autoSpaceDE w:val="0"/>
        <w:spacing w:after="0" w:line="240" w:lineRule="auto"/>
        <w:ind w:left="0" w:right="0" w:firstLine="0"/>
        <w:rPr>
          <w:iCs/>
          <w:color w:val="auto"/>
          <w:kern w:val="1"/>
          <w:szCs w:val="24"/>
          <w:lang w:eastAsia="ar-SA"/>
        </w:rPr>
      </w:pPr>
    </w:p>
    <w:p w14:paraId="1D1E7679" w14:textId="26F46CA5" w:rsidR="00AC3BAD" w:rsidRPr="00AC3BAD" w:rsidRDefault="00AC3BAD" w:rsidP="00E17E16">
      <w:pPr>
        <w:suppressAutoHyphens/>
        <w:autoSpaceDE w:val="0"/>
        <w:spacing w:after="0" w:line="360" w:lineRule="auto"/>
        <w:ind w:left="0" w:right="0" w:firstLine="0"/>
        <w:rPr>
          <w:color w:val="auto"/>
          <w:kern w:val="1"/>
          <w:szCs w:val="24"/>
          <w:lang w:val="es-CR" w:eastAsia="ar-SA"/>
        </w:rPr>
      </w:pPr>
      <w:r w:rsidRPr="00AC3BAD">
        <w:rPr>
          <w:color w:val="auto"/>
          <w:kern w:val="1"/>
          <w:szCs w:val="24"/>
          <w:lang w:val="es-CR" w:eastAsia="ar-SA"/>
        </w:rPr>
        <w:t xml:space="preserve">Como parte del Plan de Trabajo de la Auditoría Interna de 2018, y en atención al acuerdo de Junta Directiva N.º2017-426 del 20 de setiembre de 2017, se procedió a efectuar un análisis de la ejecución de la Licitación LI-2014-0004-PRI, denominada </w:t>
      </w:r>
      <w:r w:rsidRPr="00AC3BAD">
        <w:rPr>
          <w:iCs/>
          <w:color w:val="auto"/>
          <w:kern w:val="1"/>
          <w:szCs w:val="24"/>
          <w:lang w:val="es-MX" w:eastAsia="ar-SA"/>
        </w:rPr>
        <w:t xml:space="preserve">“Construcción de sistemas de redes secundarias del norte, Cuenca Rivera y Torres”, </w:t>
      </w:r>
      <w:r w:rsidRPr="00AC3BAD">
        <w:rPr>
          <w:color w:val="auto"/>
          <w:kern w:val="1"/>
          <w:szCs w:val="24"/>
          <w:lang w:val="es-CR" w:eastAsia="ar-SA"/>
        </w:rPr>
        <w:t>en especial, lo referente a las órdenes de cambio autorizadas tanto por la Gerencia General, como por la Junta Directiva de AyA.</w:t>
      </w:r>
    </w:p>
    <w:p w14:paraId="34B3B4DC" w14:textId="77777777" w:rsidR="00AC3BAD" w:rsidRPr="00AC3BAD" w:rsidRDefault="00AC3BAD" w:rsidP="00E17E16">
      <w:pPr>
        <w:suppressAutoHyphens/>
        <w:autoSpaceDE w:val="0"/>
        <w:spacing w:after="0" w:line="360" w:lineRule="auto"/>
        <w:ind w:left="0" w:right="0" w:firstLine="0"/>
        <w:rPr>
          <w:color w:val="auto"/>
          <w:kern w:val="1"/>
          <w:szCs w:val="24"/>
          <w:lang w:val="es-CR" w:eastAsia="ar-SA"/>
        </w:rPr>
      </w:pPr>
    </w:p>
    <w:p w14:paraId="6D2E1889" w14:textId="77777777" w:rsidR="00AC3BAD" w:rsidRPr="00AC3BAD" w:rsidRDefault="00AC3BAD" w:rsidP="00E17E16">
      <w:pPr>
        <w:suppressAutoHyphens/>
        <w:autoSpaceDE w:val="0"/>
        <w:spacing w:after="0" w:line="360" w:lineRule="auto"/>
        <w:ind w:left="0" w:right="0" w:firstLine="0"/>
        <w:rPr>
          <w:color w:val="auto"/>
          <w:kern w:val="1"/>
          <w:szCs w:val="24"/>
          <w:lang w:val="es-CR" w:eastAsia="ar-SA"/>
        </w:rPr>
      </w:pPr>
      <w:r w:rsidRPr="00AC3BAD">
        <w:rPr>
          <w:color w:val="auto"/>
          <w:kern w:val="1"/>
          <w:szCs w:val="24"/>
          <w:lang w:val="es-CR" w:eastAsia="ar-SA"/>
        </w:rPr>
        <w:t>El objetivo principal fue verificar que dichas órdenes de cambio cumplieran la normativa respectiva, además, de comprobar si éstas fueron consecuencia de una imprevisibilidad o en su defecto, su tramitación se debió a un error de planificación y cálculo de los diferentes rubros incluidos en dichas órdenes.</w:t>
      </w:r>
    </w:p>
    <w:p w14:paraId="1C703DF4" w14:textId="77777777" w:rsidR="00AC3BAD" w:rsidRPr="00AC3BAD" w:rsidRDefault="00AC3BAD" w:rsidP="00E17E16">
      <w:pPr>
        <w:suppressAutoHyphens/>
        <w:autoSpaceDE w:val="0"/>
        <w:spacing w:after="0" w:line="360" w:lineRule="auto"/>
        <w:ind w:left="0" w:right="0" w:firstLine="0"/>
        <w:rPr>
          <w:color w:val="auto"/>
          <w:kern w:val="1"/>
          <w:szCs w:val="24"/>
          <w:lang w:val="es-CR" w:eastAsia="ar-SA"/>
        </w:rPr>
      </w:pPr>
    </w:p>
    <w:p w14:paraId="190568A0" w14:textId="77777777" w:rsidR="00AC3BAD" w:rsidRPr="00AC3BAD" w:rsidRDefault="00AC3BAD" w:rsidP="00E17E16">
      <w:pPr>
        <w:suppressAutoHyphens/>
        <w:autoSpaceDE w:val="0"/>
        <w:spacing w:after="0" w:line="360" w:lineRule="auto"/>
        <w:ind w:left="0" w:right="0" w:firstLine="0"/>
        <w:rPr>
          <w:color w:val="auto"/>
          <w:kern w:val="1"/>
          <w:szCs w:val="24"/>
          <w:lang w:val="es-CR" w:eastAsia="ar-SA"/>
        </w:rPr>
      </w:pPr>
      <w:r w:rsidRPr="00AC3BAD">
        <w:rPr>
          <w:color w:val="auto"/>
          <w:kern w:val="1"/>
          <w:szCs w:val="24"/>
          <w:lang w:val="es-CR" w:eastAsia="ar-SA"/>
        </w:rPr>
        <w:t>Para este fin, se revisó el Cártel de la Licitación, sus anexos, las órdenes de cambio efectuadas y sus respectivas justificaciones. Además, se requirió al Consorcio NJS-</w:t>
      </w:r>
      <w:proofErr w:type="spellStart"/>
      <w:r w:rsidRPr="00AC3BAD">
        <w:rPr>
          <w:color w:val="auto"/>
          <w:kern w:val="1"/>
          <w:szCs w:val="24"/>
          <w:lang w:val="es-CR" w:eastAsia="ar-SA"/>
        </w:rPr>
        <w:t>Sogreah</w:t>
      </w:r>
      <w:proofErr w:type="spellEnd"/>
      <w:r w:rsidRPr="00AC3BAD">
        <w:rPr>
          <w:color w:val="auto"/>
          <w:kern w:val="1"/>
          <w:szCs w:val="24"/>
          <w:lang w:val="es-CR" w:eastAsia="ar-SA"/>
        </w:rPr>
        <w:t xml:space="preserve">, información que se consideró relevante, de igual manera a la Unidad Ejecutora PAPS, y se realizaron varias visitas a los sitios donde se desarrollan las obras en compañía del personal de UE-PAPS y se solicitó un criterio técnico respecto a lo observado al ingeniero William Leininger Sancho, Director de Mantenimiento de colectores y subcolectores de la Dirección de Recolección y Tratamiento GSGAM. </w:t>
      </w:r>
    </w:p>
    <w:p w14:paraId="7F8B7154" w14:textId="77777777" w:rsidR="00AC3BAD" w:rsidRPr="00AC3BAD" w:rsidRDefault="00AC3BAD" w:rsidP="00E17E16">
      <w:pPr>
        <w:suppressAutoHyphens/>
        <w:autoSpaceDE w:val="0"/>
        <w:spacing w:after="0" w:line="360" w:lineRule="auto"/>
        <w:ind w:left="0" w:right="0" w:firstLine="0"/>
        <w:rPr>
          <w:color w:val="auto"/>
          <w:kern w:val="1"/>
          <w:szCs w:val="24"/>
          <w:lang w:val="es-CR" w:eastAsia="ar-SA"/>
        </w:rPr>
      </w:pPr>
    </w:p>
    <w:p w14:paraId="23878DFE" w14:textId="77777777" w:rsidR="00AC3BAD" w:rsidRPr="00AC3BAD" w:rsidRDefault="00AC3BAD" w:rsidP="00E17E16">
      <w:pPr>
        <w:suppressAutoHyphens/>
        <w:autoSpaceDE w:val="0"/>
        <w:spacing w:after="0" w:line="360" w:lineRule="auto"/>
        <w:ind w:left="0" w:right="0" w:firstLine="0"/>
        <w:rPr>
          <w:color w:val="auto"/>
          <w:kern w:val="1"/>
          <w:szCs w:val="24"/>
          <w:lang w:val="es-CR" w:eastAsia="ar-SA"/>
        </w:rPr>
      </w:pPr>
      <w:r w:rsidRPr="00AC3BAD">
        <w:rPr>
          <w:color w:val="auto"/>
          <w:kern w:val="1"/>
          <w:szCs w:val="24"/>
          <w:lang w:val="es-CR" w:eastAsia="ar-SA"/>
        </w:rPr>
        <w:t>En el desarrollo de la auditoria, se pudo determinar que el monto del contrato se ha incrementado con la aprobación de las órdenes de cambio en un 64.69% del monto original. Que en algunos de los casos que se solicitó la aprobación de estas órdenes, no se pudo comprobar la imprevisibilidad, sino que presumiblemente lo que existió fue una errónea decisión administrativa en el momento de tramitar la Licitación. Por otra parte, según se desprende de los criterios técnicos, el hecho de tramitar algunas órdenes de cambio pudo deberse a la falta de experiencia del personal que estuvo a cargo en la confección de los pliegos cartularios, la ejecución de los contratos y posteriormente la supervisión de las obras.</w:t>
      </w:r>
    </w:p>
    <w:p w14:paraId="225F0119" w14:textId="77777777" w:rsidR="00AC3BAD" w:rsidRPr="00AC3BAD" w:rsidRDefault="00AC3BAD" w:rsidP="00E17E16">
      <w:pPr>
        <w:suppressAutoHyphens/>
        <w:autoSpaceDE w:val="0"/>
        <w:spacing w:after="0" w:line="360" w:lineRule="auto"/>
        <w:ind w:left="0" w:right="0" w:firstLine="0"/>
        <w:rPr>
          <w:color w:val="auto"/>
          <w:kern w:val="1"/>
          <w:szCs w:val="24"/>
          <w:lang w:val="es-CR" w:eastAsia="ar-SA"/>
        </w:rPr>
      </w:pPr>
    </w:p>
    <w:p w14:paraId="31B9DBEC" w14:textId="77777777" w:rsidR="00AC3BAD" w:rsidRPr="00AC3BAD" w:rsidRDefault="00AC3BAD" w:rsidP="00E17E16">
      <w:pPr>
        <w:suppressAutoHyphens/>
        <w:autoSpaceDE w:val="0"/>
        <w:spacing w:after="0" w:line="360" w:lineRule="auto"/>
        <w:ind w:left="0" w:right="0" w:firstLine="0"/>
        <w:rPr>
          <w:color w:val="auto"/>
          <w:kern w:val="1"/>
          <w:szCs w:val="24"/>
          <w:lang w:val="es-CR" w:eastAsia="ar-SA"/>
        </w:rPr>
      </w:pPr>
      <w:r w:rsidRPr="00AC3BAD">
        <w:rPr>
          <w:color w:val="auto"/>
          <w:kern w:val="1"/>
          <w:szCs w:val="24"/>
          <w:lang w:val="es-CR" w:eastAsia="ar-SA"/>
        </w:rPr>
        <w:lastRenderedPageBreak/>
        <w:t>Referente a las oportunidades de mejora, se incluyeron nueve (9) recomendaciones. Estas se refieren entre otras cosas a los rubros que deben incluirse en este tipo de proyectos, los estudios previos que requieren realizar, la calidad de los materiales utilizados, la experiencia que deben poseer los funcionarios que supervisan las obras, a la supervisión por parte de la administración de las decisiones relevantes que se toman en la Unidad Ejecutora PAPS.</w:t>
      </w:r>
    </w:p>
    <w:p w14:paraId="030DBF66" w14:textId="7752226F" w:rsidR="0077422D" w:rsidRDefault="0077422D" w:rsidP="0077422D">
      <w:pPr>
        <w:suppressAutoHyphens/>
        <w:autoSpaceDE w:val="0"/>
        <w:spacing w:after="0" w:line="240" w:lineRule="auto"/>
        <w:ind w:left="0" w:right="0" w:firstLine="0"/>
        <w:rPr>
          <w:rFonts w:ascii="Calibri" w:eastAsia="Calibri" w:hAnsi="Calibri" w:cs="Calibri"/>
          <w:sz w:val="22"/>
        </w:rPr>
      </w:pPr>
    </w:p>
    <w:p w14:paraId="250005BF" w14:textId="0CE928F6" w:rsidR="00E17E16" w:rsidRDefault="00E17E16" w:rsidP="0077422D">
      <w:pPr>
        <w:suppressAutoHyphens/>
        <w:autoSpaceDE w:val="0"/>
        <w:spacing w:after="0" w:line="240" w:lineRule="auto"/>
        <w:ind w:left="0" w:right="0" w:firstLine="0"/>
        <w:rPr>
          <w:rFonts w:ascii="Calibri" w:eastAsia="Calibri" w:hAnsi="Calibri" w:cs="Calibri"/>
          <w:sz w:val="22"/>
        </w:rPr>
      </w:pPr>
    </w:p>
    <w:p w14:paraId="67D51E29" w14:textId="75F2FEF5" w:rsidR="00E17E16" w:rsidRDefault="00E17E16" w:rsidP="0077422D">
      <w:pPr>
        <w:suppressAutoHyphens/>
        <w:autoSpaceDE w:val="0"/>
        <w:spacing w:after="0" w:line="240" w:lineRule="auto"/>
        <w:ind w:left="0" w:right="0" w:firstLine="0"/>
        <w:rPr>
          <w:rFonts w:ascii="Calibri" w:eastAsia="Calibri" w:hAnsi="Calibri" w:cs="Calibri"/>
          <w:sz w:val="22"/>
        </w:rPr>
      </w:pPr>
    </w:p>
    <w:p w14:paraId="062BE4B5" w14:textId="5CF1B637" w:rsidR="00E17E16" w:rsidRDefault="00E17E16" w:rsidP="0077422D">
      <w:pPr>
        <w:suppressAutoHyphens/>
        <w:autoSpaceDE w:val="0"/>
        <w:spacing w:after="0" w:line="240" w:lineRule="auto"/>
        <w:ind w:left="0" w:right="0" w:firstLine="0"/>
        <w:rPr>
          <w:rFonts w:ascii="Calibri" w:eastAsia="Calibri" w:hAnsi="Calibri" w:cs="Calibri"/>
          <w:sz w:val="22"/>
        </w:rPr>
      </w:pPr>
    </w:p>
    <w:p w14:paraId="3FE83A3E" w14:textId="4B0F2355" w:rsidR="00E17E16" w:rsidRDefault="00E17E16" w:rsidP="0077422D">
      <w:pPr>
        <w:suppressAutoHyphens/>
        <w:autoSpaceDE w:val="0"/>
        <w:spacing w:after="0" w:line="240" w:lineRule="auto"/>
        <w:ind w:left="0" w:right="0" w:firstLine="0"/>
        <w:rPr>
          <w:rFonts w:ascii="Calibri" w:eastAsia="Calibri" w:hAnsi="Calibri" w:cs="Calibri"/>
          <w:sz w:val="22"/>
        </w:rPr>
      </w:pPr>
    </w:p>
    <w:p w14:paraId="1ECB404F" w14:textId="766ED4A9" w:rsidR="00E17E16" w:rsidRDefault="00E17E16" w:rsidP="0077422D">
      <w:pPr>
        <w:suppressAutoHyphens/>
        <w:autoSpaceDE w:val="0"/>
        <w:spacing w:after="0" w:line="240" w:lineRule="auto"/>
        <w:ind w:left="0" w:right="0" w:firstLine="0"/>
        <w:rPr>
          <w:rFonts w:ascii="Calibri" w:eastAsia="Calibri" w:hAnsi="Calibri" w:cs="Calibri"/>
          <w:sz w:val="22"/>
        </w:rPr>
      </w:pPr>
    </w:p>
    <w:p w14:paraId="14E15FEB" w14:textId="25296C0D" w:rsidR="00E17E16" w:rsidRDefault="00E17E16" w:rsidP="0077422D">
      <w:pPr>
        <w:suppressAutoHyphens/>
        <w:autoSpaceDE w:val="0"/>
        <w:spacing w:after="0" w:line="240" w:lineRule="auto"/>
        <w:ind w:left="0" w:right="0" w:firstLine="0"/>
        <w:rPr>
          <w:rFonts w:ascii="Calibri" w:eastAsia="Calibri" w:hAnsi="Calibri" w:cs="Calibri"/>
          <w:sz w:val="22"/>
        </w:rPr>
      </w:pPr>
    </w:p>
    <w:p w14:paraId="4122F29C" w14:textId="74C213E0" w:rsidR="00E17E16" w:rsidRDefault="00E17E16" w:rsidP="0077422D">
      <w:pPr>
        <w:suppressAutoHyphens/>
        <w:autoSpaceDE w:val="0"/>
        <w:spacing w:after="0" w:line="240" w:lineRule="auto"/>
        <w:ind w:left="0" w:right="0" w:firstLine="0"/>
        <w:rPr>
          <w:rFonts w:ascii="Calibri" w:eastAsia="Calibri" w:hAnsi="Calibri" w:cs="Calibri"/>
          <w:sz w:val="22"/>
        </w:rPr>
      </w:pPr>
    </w:p>
    <w:p w14:paraId="548163F9" w14:textId="02E51B02" w:rsidR="00E17E16" w:rsidRDefault="00E17E16" w:rsidP="0077422D">
      <w:pPr>
        <w:suppressAutoHyphens/>
        <w:autoSpaceDE w:val="0"/>
        <w:spacing w:after="0" w:line="240" w:lineRule="auto"/>
        <w:ind w:left="0" w:right="0" w:firstLine="0"/>
        <w:rPr>
          <w:rFonts w:ascii="Calibri" w:eastAsia="Calibri" w:hAnsi="Calibri" w:cs="Calibri"/>
          <w:sz w:val="22"/>
        </w:rPr>
      </w:pPr>
    </w:p>
    <w:p w14:paraId="2A49BD25" w14:textId="69EA0EBB" w:rsidR="00E17E16" w:rsidRDefault="00E17E16" w:rsidP="0077422D">
      <w:pPr>
        <w:suppressAutoHyphens/>
        <w:autoSpaceDE w:val="0"/>
        <w:spacing w:after="0" w:line="240" w:lineRule="auto"/>
        <w:ind w:left="0" w:right="0" w:firstLine="0"/>
        <w:rPr>
          <w:rFonts w:ascii="Calibri" w:eastAsia="Calibri" w:hAnsi="Calibri" w:cs="Calibri"/>
          <w:sz w:val="22"/>
        </w:rPr>
      </w:pPr>
    </w:p>
    <w:p w14:paraId="5344080E" w14:textId="73F5DF0B" w:rsidR="00E17E16" w:rsidRDefault="00E17E16" w:rsidP="0077422D">
      <w:pPr>
        <w:suppressAutoHyphens/>
        <w:autoSpaceDE w:val="0"/>
        <w:spacing w:after="0" w:line="240" w:lineRule="auto"/>
        <w:ind w:left="0" w:right="0" w:firstLine="0"/>
        <w:rPr>
          <w:rFonts w:ascii="Calibri" w:eastAsia="Calibri" w:hAnsi="Calibri" w:cs="Calibri"/>
          <w:sz w:val="22"/>
        </w:rPr>
      </w:pPr>
    </w:p>
    <w:p w14:paraId="3A7AA0A8" w14:textId="0D722A05" w:rsidR="00E17E16" w:rsidRDefault="00E17E16" w:rsidP="0077422D">
      <w:pPr>
        <w:suppressAutoHyphens/>
        <w:autoSpaceDE w:val="0"/>
        <w:spacing w:after="0" w:line="240" w:lineRule="auto"/>
        <w:ind w:left="0" w:right="0" w:firstLine="0"/>
        <w:rPr>
          <w:rFonts w:ascii="Calibri" w:eastAsia="Calibri" w:hAnsi="Calibri" w:cs="Calibri"/>
          <w:sz w:val="22"/>
        </w:rPr>
      </w:pPr>
    </w:p>
    <w:p w14:paraId="6FC2C540" w14:textId="1E161460" w:rsidR="00E17E16" w:rsidRDefault="00E17E16" w:rsidP="0077422D">
      <w:pPr>
        <w:suppressAutoHyphens/>
        <w:autoSpaceDE w:val="0"/>
        <w:spacing w:after="0" w:line="240" w:lineRule="auto"/>
        <w:ind w:left="0" w:right="0" w:firstLine="0"/>
        <w:rPr>
          <w:rFonts w:ascii="Calibri" w:eastAsia="Calibri" w:hAnsi="Calibri" w:cs="Calibri"/>
          <w:sz w:val="22"/>
        </w:rPr>
      </w:pPr>
    </w:p>
    <w:p w14:paraId="50185E8C" w14:textId="51EFF920" w:rsidR="00E17E16" w:rsidRDefault="00E17E16" w:rsidP="0077422D">
      <w:pPr>
        <w:suppressAutoHyphens/>
        <w:autoSpaceDE w:val="0"/>
        <w:spacing w:after="0" w:line="240" w:lineRule="auto"/>
        <w:ind w:left="0" w:right="0" w:firstLine="0"/>
        <w:rPr>
          <w:rFonts w:ascii="Calibri" w:eastAsia="Calibri" w:hAnsi="Calibri" w:cs="Calibri"/>
          <w:sz w:val="22"/>
        </w:rPr>
      </w:pPr>
    </w:p>
    <w:p w14:paraId="7E351969" w14:textId="561CDAB6" w:rsidR="00E17E16" w:rsidRDefault="00E17E16" w:rsidP="0077422D">
      <w:pPr>
        <w:suppressAutoHyphens/>
        <w:autoSpaceDE w:val="0"/>
        <w:spacing w:after="0" w:line="240" w:lineRule="auto"/>
        <w:ind w:left="0" w:right="0" w:firstLine="0"/>
        <w:rPr>
          <w:rFonts w:ascii="Calibri" w:eastAsia="Calibri" w:hAnsi="Calibri" w:cs="Calibri"/>
          <w:sz w:val="22"/>
        </w:rPr>
      </w:pPr>
    </w:p>
    <w:p w14:paraId="2BFF64D7" w14:textId="7FCC5515" w:rsidR="00E17E16" w:rsidRDefault="00E17E16" w:rsidP="0077422D">
      <w:pPr>
        <w:suppressAutoHyphens/>
        <w:autoSpaceDE w:val="0"/>
        <w:spacing w:after="0" w:line="240" w:lineRule="auto"/>
        <w:ind w:left="0" w:right="0" w:firstLine="0"/>
        <w:rPr>
          <w:rFonts w:ascii="Calibri" w:eastAsia="Calibri" w:hAnsi="Calibri" w:cs="Calibri"/>
          <w:sz w:val="22"/>
        </w:rPr>
      </w:pPr>
    </w:p>
    <w:p w14:paraId="5CE903AF" w14:textId="723F308E" w:rsidR="00E17E16" w:rsidRDefault="00E17E16" w:rsidP="0077422D">
      <w:pPr>
        <w:suppressAutoHyphens/>
        <w:autoSpaceDE w:val="0"/>
        <w:spacing w:after="0" w:line="240" w:lineRule="auto"/>
        <w:ind w:left="0" w:right="0" w:firstLine="0"/>
        <w:rPr>
          <w:rFonts w:ascii="Calibri" w:eastAsia="Calibri" w:hAnsi="Calibri" w:cs="Calibri"/>
          <w:sz w:val="22"/>
        </w:rPr>
      </w:pPr>
    </w:p>
    <w:p w14:paraId="7D36AB92" w14:textId="35610723" w:rsidR="00E17E16" w:rsidRDefault="00E17E16" w:rsidP="0077422D">
      <w:pPr>
        <w:suppressAutoHyphens/>
        <w:autoSpaceDE w:val="0"/>
        <w:spacing w:after="0" w:line="240" w:lineRule="auto"/>
        <w:ind w:left="0" w:right="0" w:firstLine="0"/>
        <w:rPr>
          <w:rFonts w:ascii="Calibri" w:eastAsia="Calibri" w:hAnsi="Calibri" w:cs="Calibri"/>
          <w:sz w:val="22"/>
        </w:rPr>
      </w:pPr>
    </w:p>
    <w:p w14:paraId="665B905F" w14:textId="61BE715D" w:rsidR="00E17E16" w:rsidRDefault="00E17E16" w:rsidP="0077422D">
      <w:pPr>
        <w:suppressAutoHyphens/>
        <w:autoSpaceDE w:val="0"/>
        <w:spacing w:after="0" w:line="240" w:lineRule="auto"/>
        <w:ind w:left="0" w:right="0" w:firstLine="0"/>
        <w:rPr>
          <w:rFonts w:ascii="Calibri" w:eastAsia="Calibri" w:hAnsi="Calibri" w:cs="Calibri"/>
          <w:sz w:val="22"/>
        </w:rPr>
      </w:pPr>
    </w:p>
    <w:p w14:paraId="620FE95B" w14:textId="17782978" w:rsidR="00E17E16" w:rsidRDefault="00E17E16" w:rsidP="0077422D">
      <w:pPr>
        <w:suppressAutoHyphens/>
        <w:autoSpaceDE w:val="0"/>
        <w:spacing w:after="0" w:line="240" w:lineRule="auto"/>
        <w:ind w:left="0" w:right="0" w:firstLine="0"/>
        <w:rPr>
          <w:rFonts w:ascii="Calibri" w:eastAsia="Calibri" w:hAnsi="Calibri" w:cs="Calibri"/>
          <w:sz w:val="22"/>
        </w:rPr>
      </w:pPr>
    </w:p>
    <w:p w14:paraId="77DB9929" w14:textId="3E8FBF6B" w:rsidR="00E17E16" w:rsidRDefault="00E17E16" w:rsidP="0077422D">
      <w:pPr>
        <w:suppressAutoHyphens/>
        <w:autoSpaceDE w:val="0"/>
        <w:spacing w:after="0" w:line="240" w:lineRule="auto"/>
        <w:ind w:left="0" w:right="0" w:firstLine="0"/>
        <w:rPr>
          <w:rFonts w:ascii="Calibri" w:eastAsia="Calibri" w:hAnsi="Calibri" w:cs="Calibri"/>
          <w:sz w:val="22"/>
        </w:rPr>
      </w:pPr>
    </w:p>
    <w:p w14:paraId="2BAF39B9" w14:textId="7C463D7A" w:rsidR="00E17E16" w:rsidRDefault="00E17E16" w:rsidP="0077422D">
      <w:pPr>
        <w:suppressAutoHyphens/>
        <w:autoSpaceDE w:val="0"/>
        <w:spacing w:after="0" w:line="240" w:lineRule="auto"/>
        <w:ind w:left="0" w:right="0" w:firstLine="0"/>
        <w:rPr>
          <w:rFonts w:ascii="Calibri" w:eastAsia="Calibri" w:hAnsi="Calibri" w:cs="Calibri"/>
          <w:sz w:val="22"/>
        </w:rPr>
      </w:pPr>
    </w:p>
    <w:p w14:paraId="2DB17845" w14:textId="0C5FA7CA" w:rsidR="00E17E16" w:rsidRDefault="00E17E16" w:rsidP="0077422D">
      <w:pPr>
        <w:suppressAutoHyphens/>
        <w:autoSpaceDE w:val="0"/>
        <w:spacing w:after="0" w:line="240" w:lineRule="auto"/>
        <w:ind w:left="0" w:right="0" w:firstLine="0"/>
        <w:rPr>
          <w:rFonts w:ascii="Calibri" w:eastAsia="Calibri" w:hAnsi="Calibri" w:cs="Calibri"/>
          <w:sz w:val="22"/>
        </w:rPr>
      </w:pPr>
    </w:p>
    <w:p w14:paraId="4CB4B71D" w14:textId="4BE1BF5B" w:rsidR="00E17E16" w:rsidRDefault="00E17E16" w:rsidP="0077422D">
      <w:pPr>
        <w:suppressAutoHyphens/>
        <w:autoSpaceDE w:val="0"/>
        <w:spacing w:after="0" w:line="240" w:lineRule="auto"/>
        <w:ind w:left="0" w:right="0" w:firstLine="0"/>
        <w:rPr>
          <w:rFonts w:ascii="Calibri" w:eastAsia="Calibri" w:hAnsi="Calibri" w:cs="Calibri"/>
          <w:sz w:val="22"/>
        </w:rPr>
      </w:pPr>
    </w:p>
    <w:p w14:paraId="2E76EE83" w14:textId="23A8D303" w:rsidR="00E17E16" w:rsidRDefault="00E17E16" w:rsidP="0077422D">
      <w:pPr>
        <w:suppressAutoHyphens/>
        <w:autoSpaceDE w:val="0"/>
        <w:spacing w:after="0" w:line="240" w:lineRule="auto"/>
        <w:ind w:left="0" w:right="0" w:firstLine="0"/>
        <w:rPr>
          <w:rFonts w:ascii="Calibri" w:eastAsia="Calibri" w:hAnsi="Calibri" w:cs="Calibri"/>
          <w:sz w:val="22"/>
        </w:rPr>
      </w:pPr>
    </w:p>
    <w:p w14:paraId="1EB3CF24" w14:textId="731E62A1" w:rsidR="00E17E16" w:rsidRDefault="00E17E16" w:rsidP="0077422D">
      <w:pPr>
        <w:suppressAutoHyphens/>
        <w:autoSpaceDE w:val="0"/>
        <w:spacing w:after="0" w:line="240" w:lineRule="auto"/>
        <w:ind w:left="0" w:right="0" w:firstLine="0"/>
        <w:rPr>
          <w:rFonts w:ascii="Calibri" w:eastAsia="Calibri" w:hAnsi="Calibri" w:cs="Calibri"/>
          <w:sz w:val="22"/>
        </w:rPr>
      </w:pPr>
    </w:p>
    <w:p w14:paraId="6FBAB06C" w14:textId="680F1BD7" w:rsidR="00E17E16" w:rsidRDefault="00E17E16" w:rsidP="0077422D">
      <w:pPr>
        <w:suppressAutoHyphens/>
        <w:autoSpaceDE w:val="0"/>
        <w:spacing w:after="0" w:line="240" w:lineRule="auto"/>
        <w:ind w:left="0" w:right="0" w:firstLine="0"/>
        <w:rPr>
          <w:rFonts w:ascii="Calibri" w:eastAsia="Calibri" w:hAnsi="Calibri" w:cs="Calibri"/>
          <w:sz w:val="22"/>
        </w:rPr>
      </w:pPr>
    </w:p>
    <w:p w14:paraId="26ABE3A5" w14:textId="2B48F0EF" w:rsidR="00E17E16" w:rsidRDefault="00E17E16" w:rsidP="0077422D">
      <w:pPr>
        <w:suppressAutoHyphens/>
        <w:autoSpaceDE w:val="0"/>
        <w:spacing w:after="0" w:line="240" w:lineRule="auto"/>
        <w:ind w:left="0" w:right="0" w:firstLine="0"/>
        <w:rPr>
          <w:rFonts w:ascii="Calibri" w:eastAsia="Calibri" w:hAnsi="Calibri" w:cs="Calibri"/>
          <w:sz w:val="22"/>
        </w:rPr>
      </w:pPr>
    </w:p>
    <w:p w14:paraId="284FB8F3" w14:textId="1576F7A1" w:rsidR="00E17E16" w:rsidRDefault="00E17E16" w:rsidP="0077422D">
      <w:pPr>
        <w:suppressAutoHyphens/>
        <w:autoSpaceDE w:val="0"/>
        <w:spacing w:after="0" w:line="240" w:lineRule="auto"/>
        <w:ind w:left="0" w:right="0" w:firstLine="0"/>
        <w:rPr>
          <w:rFonts w:ascii="Calibri" w:eastAsia="Calibri" w:hAnsi="Calibri" w:cs="Calibri"/>
          <w:sz w:val="22"/>
        </w:rPr>
      </w:pPr>
    </w:p>
    <w:p w14:paraId="10069B8E" w14:textId="77777777" w:rsidR="00E17E16" w:rsidRDefault="00E17E16" w:rsidP="0077422D">
      <w:pPr>
        <w:suppressAutoHyphens/>
        <w:autoSpaceDE w:val="0"/>
        <w:spacing w:after="0" w:line="240" w:lineRule="auto"/>
        <w:ind w:left="0" w:right="0" w:firstLine="0"/>
        <w:rPr>
          <w:rFonts w:ascii="Calibri" w:eastAsia="Calibri" w:hAnsi="Calibri" w:cs="Calibri"/>
          <w:sz w:val="22"/>
        </w:rPr>
      </w:pPr>
      <w:bookmarkStart w:id="0" w:name="_GoBack"/>
      <w:bookmarkEnd w:id="0"/>
    </w:p>
    <w:p w14:paraId="5C4C03E9" w14:textId="77777777" w:rsidR="0077422D" w:rsidRDefault="0077422D" w:rsidP="0077422D">
      <w:pPr>
        <w:suppressAutoHyphens/>
        <w:autoSpaceDE w:val="0"/>
        <w:spacing w:after="0" w:line="240" w:lineRule="auto"/>
        <w:ind w:left="0" w:right="0" w:firstLine="0"/>
        <w:rPr>
          <w:rFonts w:ascii="Calibri" w:eastAsia="Calibri" w:hAnsi="Calibri" w:cs="Calibri"/>
          <w:sz w:val="22"/>
        </w:rPr>
      </w:pPr>
    </w:p>
    <w:p w14:paraId="6BEC8D2F" w14:textId="77777777" w:rsidR="00257076" w:rsidRDefault="0077422D" w:rsidP="008B3A47">
      <w:pPr>
        <w:suppressAutoHyphens/>
        <w:autoSpaceDE w:val="0"/>
        <w:spacing w:after="0" w:line="240" w:lineRule="auto"/>
        <w:ind w:left="0" w:right="0" w:firstLine="0"/>
        <w:rPr>
          <w:rFonts w:ascii="Calibri" w:eastAsia="Calibri" w:hAnsi="Calibri" w:cs="Calibri"/>
          <w:sz w:val="22"/>
        </w:rPr>
      </w:pPr>
      <w:r>
        <w:rPr>
          <w:rFonts w:ascii="Calibri" w:eastAsia="Calibri" w:hAnsi="Calibri" w:cs="Calibri"/>
          <w:sz w:val="22"/>
        </w:rPr>
        <w:t xml:space="preserve">Preparado por: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Aprobado por:   </w:t>
      </w:r>
      <w:r>
        <w:rPr>
          <w:rFonts w:ascii="Calibri" w:eastAsia="Calibri" w:hAnsi="Calibri" w:cs="Calibri"/>
          <w:sz w:val="22"/>
        </w:rPr>
        <w:tab/>
      </w:r>
      <w:r>
        <w:rPr>
          <w:rFonts w:ascii="Calibri" w:eastAsia="Calibri" w:hAnsi="Calibri" w:cs="Calibri"/>
          <w:sz w:val="22"/>
        </w:rPr>
        <w:tab/>
      </w:r>
    </w:p>
    <w:p w14:paraId="4BAE5370" w14:textId="6CF140E7" w:rsidR="008B3A47" w:rsidRPr="008B3A47" w:rsidRDefault="008B3A47" w:rsidP="008B3A47">
      <w:pPr>
        <w:suppressAutoHyphens/>
        <w:autoSpaceDE w:val="0"/>
        <w:spacing w:after="0" w:line="240" w:lineRule="auto"/>
        <w:ind w:left="0" w:right="0" w:firstLine="0"/>
        <w:rPr>
          <w:rFonts w:ascii="Calibri" w:eastAsia="Calibri" w:hAnsi="Calibri" w:cs="Calibri"/>
          <w:sz w:val="22"/>
        </w:rPr>
      </w:pPr>
      <w:r w:rsidRPr="008B3A47">
        <w:rPr>
          <w:rFonts w:ascii="Calibri" w:eastAsia="Calibri" w:hAnsi="Calibri" w:cs="Calibri"/>
          <w:sz w:val="22"/>
          <w:lang w:val="es-CR"/>
        </w:rPr>
        <w:t>Lic. Walter González Altamirano</w:t>
      </w:r>
      <w:r w:rsidRPr="008B3A47">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MBA. Alcides Vargas Pacheco</w:t>
      </w:r>
    </w:p>
    <w:p w14:paraId="79C3BE49" w14:textId="56E5A397" w:rsidR="008B3A47" w:rsidRPr="008B3A47" w:rsidRDefault="00257076" w:rsidP="008B3A47">
      <w:pPr>
        <w:spacing w:after="0" w:line="240" w:lineRule="auto"/>
        <w:ind w:right="283"/>
        <w:jc w:val="left"/>
        <w:rPr>
          <w:rFonts w:ascii="Calibri" w:eastAsia="Calibri" w:hAnsi="Calibri" w:cs="Calibri"/>
          <w:sz w:val="22"/>
          <w:lang w:val="es-CR"/>
        </w:rPr>
      </w:pPr>
      <w:r w:rsidRPr="008B3A47">
        <w:rPr>
          <w:rFonts w:ascii="Calibri" w:eastAsia="Calibri" w:hAnsi="Calibri" w:cs="Calibri"/>
          <w:sz w:val="22"/>
          <w:lang w:val="es-CR"/>
        </w:rPr>
        <w:t>Máster</w:t>
      </w:r>
      <w:r w:rsidR="008B3A47" w:rsidRPr="008B3A47">
        <w:rPr>
          <w:rFonts w:ascii="Calibri" w:eastAsia="Calibri" w:hAnsi="Calibri" w:cs="Calibri"/>
          <w:sz w:val="22"/>
          <w:lang w:val="es-CR"/>
        </w:rPr>
        <w:t>. Rocío Torres Hernández</w:t>
      </w:r>
    </w:p>
    <w:p w14:paraId="2F17E7B5" w14:textId="77777777" w:rsidR="00257076" w:rsidRDefault="0077422D" w:rsidP="00257076">
      <w:pPr>
        <w:spacing w:after="0" w:line="240" w:lineRule="auto"/>
        <w:ind w:right="283"/>
        <w:jc w:val="left"/>
        <w:rPr>
          <w:rFonts w:ascii="Calibri" w:eastAsia="Calibri" w:hAnsi="Calibri" w:cs="Calibri"/>
          <w:sz w:val="22"/>
        </w:rPr>
      </w:pPr>
      <w:r>
        <w:rPr>
          <w:rFonts w:ascii="Calibri" w:eastAsia="Calibri" w:hAnsi="Calibri" w:cs="Calibri"/>
          <w:sz w:val="22"/>
        </w:rPr>
        <w:tab/>
      </w:r>
    </w:p>
    <w:p w14:paraId="16204D9F" w14:textId="5846CC49" w:rsidR="0077422D" w:rsidRDefault="0077422D" w:rsidP="00257076">
      <w:pPr>
        <w:spacing w:after="0" w:line="240" w:lineRule="auto"/>
        <w:ind w:right="283"/>
        <w:jc w:val="left"/>
      </w:pPr>
      <w:r>
        <w:rPr>
          <w:rFonts w:ascii="Calibri" w:eastAsia="Calibri" w:hAnsi="Calibri" w:cs="Calibri"/>
          <w:sz w:val="22"/>
        </w:rPr>
        <w:t xml:space="preserve">Fecha: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Hora: </w:t>
      </w:r>
    </w:p>
    <w:p w14:paraId="5C2D7C19" w14:textId="48169F92" w:rsidR="0077422D" w:rsidRPr="00981971" w:rsidRDefault="00257076">
      <w:pPr>
        <w:spacing w:after="0" w:line="240" w:lineRule="auto"/>
        <w:ind w:right="0"/>
        <w:jc w:val="left"/>
        <w:rPr>
          <w:color w:val="auto"/>
        </w:rPr>
      </w:pPr>
      <w:r>
        <w:rPr>
          <w:rFonts w:ascii="Calibri" w:eastAsia="Calibri" w:hAnsi="Calibri" w:cs="Calibri"/>
          <w:color w:val="auto"/>
          <w:sz w:val="22"/>
        </w:rPr>
        <w:t>07</w:t>
      </w:r>
      <w:r w:rsidR="0077422D" w:rsidRPr="00981971">
        <w:rPr>
          <w:rFonts w:ascii="Calibri" w:eastAsia="Calibri" w:hAnsi="Calibri" w:cs="Calibri"/>
          <w:color w:val="auto"/>
          <w:sz w:val="22"/>
        </w:rPr>
        <w:t>-</w:t>
      </w:r>
      <w:r>
        <w:rPr>
          <w:rFonts w:ascii="Calibri" w:eastAsia="Calibri" w:hAnsi="Calibri" w:cs="Calibri"/>
          <w:color w:val="auto"/>
          <w:sz w:val="22"/>
        </w:rPr>
        <w:t>0</w:t>
      </w:r>
      <w:r w:rsidR="0077422D" w:rsidRPr="00981971">
        <w:rPr>
          <w:rFonts w:ascii="Calibri" w:eastAsia="Calibri" w:hAnsi="Calibri" w:cs="Calibri"/>
          <w:color w:val="auto"/>
          <w:sz w:val="22"/>
        </w:rPr>
        <w:t>1-201</w:t>
      </w:r>
      <w:r>
        <w:rPr>
          <w:rFonts w:ascii="Calibri" w:eastAsia="Calibri" w:hAnsi="Calibri" w:cs="Calibri"/>
          <w:color w:val="auto"/>
          <w:sz w:val="22"/>
        </w:rPr>
        <w:t>9</w:t>
      </w:r>
      <w:r w:rsidR="0077422D" w:rsidRPr="00981971">
        <w:rPr>
          <w:rFonts w:ascii="Calibri" w:eastAsia="Calibri" w:hAnsi="Calibri" w:cs="Calibri"/>
          <w:color w:val="auto"/>
          <w:sz w:val="22"/>
        </w:rPr>
        <w:t xml:space="preserve"> </w:t>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8B3A47">
        <w:rPr>
          <w:rFonts w:ascii="Calibri" w:eastAsia="Calibri" w:hAnsi="Calibri" w:cs="Calibri"/>
          <w:color w:val="auto"/>
          <w:sz w:val="22"/>
        </w:rPr>
        <w:t>2:2</w:t>
      </w:r>
      <w:r w:rsidR="0077422D">
        <w:rPr>
          <w:rFonts w:ascii="Calibri" w:eastAsia="Calibri" w:hAnsi="Calibri" w:cs="Calibri"/>
          <w:color w:val="auto"/>
          <w:sz w:val="22"/>
        </w:rPr>
        <w:t>6</w:t>
      </w:r>
      <w:r w:rsidR="0077422D" w:rsidRPr="00981971">
        <w:rPr>
          <w:rFonts w:ascii="Calibri" w:eastAsia="Calibri" w:hAnsi="Calibri" w:cs="Calibri"/>
          <w:color w:val="auto"/>
          <w:sz w:val="22"/>
        </w:rPr>
        <w:t xml:space="preserve"> </w:t>
      </w:r>
      <w:r w:rsidR="0077422D">
        <w:rPr>
          <w:rFonts w:ascii="Calibri" w:eastAsia="Calibri" w:hAnsi="Calibri" w:cs="Calibri"/>
          <w:color w:val="auto"/>
          <w:sz w:val="22"/>
        </w:rPr>
        <w:t>p</w:t>
      </w:r>
      <w:r w:rsidR="0077422D" w:rsidRPr="00981971">
        <w:rPr>
          <w:rFonts w:ascii="Calibri" w:eastAsia="Calibri" w:hAnsi="Calibri" w:cs="Calibri"/>
          <w:color w:val="auto"/>
          <w:sz w:val="22"/>
        </w:rPr>
        <w:t xml:space="preserve">m </w:t>
      </w:r>
    </w:p>
    <w:sectPr w:rsidR="0077422D" w:rsidRPr="00981971" w:rsidSect="0077422D">
      <w:headerReference w:type="default" r:id="rId6"/>
      <w:footerReference w:type="default" r:id="rId7"/>
      <w:type w:val="continuous"/>
      <w:pgSz w:w="11906" w:h="16838"/>
      <w:pgMar w:top="1440" w:right="1274" w:bottom="1560" w:left="1702" w:header="851" w:footer="720" w:gutter="0"/>
      <w:cols w:space="19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6293F" w14:textId="77777777" w:rsidR="0068708F" w:rsidRDefault="0068708F" w:rsidP="00C463E9">
      <w:pPr>
        <w:spacing w:after="0" w:line="240" w:lineRule="auto"/>
      </w:pPr>
      <w:r>
        <w:separator/>
      </w:r>
    </w:p>
  </w:endnote>
  <w:endnote w:type="continuationSeparator" w:id="0">
    <w:p w14:paraId="444CEFA4" w14:textId="77777777" w:rsidR="0068708F" w:rsidRDefault="0068708F" w:rsidP="00C4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16EF" w14:textId="77777777" w:rsidR="00C463E9" w:rsidRPr="00C463E9" w:rsidRDefault="00C463E9">
    <w:pPr>
      <w:pStyle w:val="Piedepgina"/>
      <w:jc w:val="right"/>
      <w:rPr>
        <w:sz w:val="20"/>
        <w:szCs w:val="20"/>
      </w:rPr>
    </w:pPr>
    <w:r w:rsidRPr="00C463E9">
      <w:rPr>
        <w:sz w:val="20"/>
        <w:szCs w:val="20"/>
      </w:rPr>
      <w:t>Pág.</w:t>
    </w:r>
    <w:sdt>
      <w:sdtPr>
        <w:rPr>
          <w:sz w:val="20"/>
          <w:szCs w:val="20"/>
        </w:rPr>
        <w:id w:val="1031302403"/>
        <w:docPartObj>
          <w:docPartGallery w:val="Page Numbers (Bottom of Page)"/>
          <w:docPartUnique/>
        </w:docPartObj>
      </w:sdtPr>
      <w:sdtEndPr/>
      <w:sdtContent>
        <w:r w:rsidRPr="00C463E9">
          <w:rPr>
            <w:sz w:val="20"/>
            <w:szCs w:val="20"/>
          </w:rPr>
          <w:fldChar w:fldCharType="begin"/>
        </w:r>
        <w:r w:rsidRPr="00C463E9">
          <w:rPr>
            <w:sz w:val="20"/>
            <w:szCs w:val="20"/>
          </w:rPr>
          <w:instrText>PAGE   \* MERGEFORMAT</w:instrText>
        </w:r>
        <w:r w:rsidRPr="00C463E9">
          <w:rPr>
            <w:sz w:val="20"/>
            <w:szCs w:val="20"/>
          </w:rPr>
          <w:fldChar w:fldCharType="separate"/>
        </w:r>
        <w:r w:rsidRPr="00C463E9">
          <w:rPr>
            <w:sz w:val="20"/>
            <w:szCs w:val="20"/>
          </w:rPr>
          <w:t>2</w:t>
        </w:r>
        <w:r w:rsidRPr="00C463E9">
          <w:rPr>
            <w:sz w:val="20"/>
            <w:szCs w:val="20"/>
          </w:rPr>
          <w:fldChar w:fldCharType="end"/>
        </w:r>
      </w:sdtContent>
    </w:sdt>
  </w:p>
  <w:p w14:paraId="40ED7C4E" w14:textId="77777777" w:rsidR="00C463E9" w:rsidRDefault="00C463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19BBF" w14:textId="77777777" w:rsidR="0068708F" w:rsidRDefault="0068708F" w:rsidP="00C463E9">
      <w:pPr>
        <w:spacing w:after="0" w:line="240" w:lineRule="auto"/>
      </w:pPr>
      <w:r>
        <w:separator/>
      </w:r>
    </w:p>
  </w:footnote>
  <w:footnote w:type="continuationSeparator" w:id="0">
    <w:p w14:paraId="4B4FFB3A" w14:textId="77777777" w:rsidR="0068708F" w:rsidRDefault="0068708F" w:rsidP="00C46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75B2" w14:textId="77777777" w:rsidR="00C463E9" w:rsidRDefault="00C463E9" w:rsidP="00C463E9">
    <w:pPr>
      <w:spacing w:after="156" w:line="259" w:lineRule="auto"/>
      <w:ind w:right="0"/>
      <w:jc w:val="left"/>
    </w:pPr>
    <w:r>
      <w:rPr>
        <w:noProof/>
      </w:rPr>
      <w:drawing>
        <wp:anchor distT="0" distB="0" distL="114300" distR="114300" simplePos="0" relativeHeight="251659264" behindDoc="0" locked="0" layoutInCell="1" allowOverlap="0" wp14:anchorId="25AD572E" wp14:editId="05F6598E">
          <wp:simplePos x="0" y="0"/>
          <wp:positionH relativeFrom="column">
            <wp:posOffset>-728395</wp:posOffset>
          </wp:positionH>
          <wp:positionV relativeFrom="paragraph">
            <wp:posOffset>-129241</wp:posOffset>
          </wp:positionV>
          <wp:extent cx="770890" cy="737870"/>
          <wp:effectExtent l="0" t="0" r="0" b="0"/>
          <wp:wrapSquare wrapText="bothSides"/>
          <wp:docPr id="1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770890" cy="737870"/>
                  </a:xfrm>
                  <a:prstGeom prst="rect">
                    <a:avLst/>
                  </a:prstGeom>
                </pic:spPr>
              </pic:pic>
            </a:graphicData>
          </a:graphic>
        </wp:anchor>
      </w:drawing>
    </w:r>
    <w:r>
      <w:rPr>
        <w:b/>
      </w:rPr>
      <w:t xml:space="preserve">INSTITUTO COSTARRICENSE DE ACUEDUCTOS Y ALCANTARILLADOS </w:t>
    </w:r>
  </w:p>
  <w:p w14:paraId="0DB72C72" w14:textId="77777777" w:rsidR="00C463E9" w:rsidRDefault="00C463E9" w:rsidP="00C463E9">
    <w:pPr>
      <w:spacing w:after="107" w:line="259" w:lineRule="auto"/>
      <w:ind w:left="667" w:right="0"/>
      <w:jc w:val="center"/>
    </w:pPr>
    <w:r>
      <w:rPr>
        <w:b/>
      </w:rPr>
      <w:t xml:space="preserve">San José, Costa Rica </w:t>
    </w:r>
  </w:p>
  <w:p w14:paraId="4730D1C7" w14:textId="77777777" w:rsidR="00C463E9" w:rsidRDefault="00C463E9" w:rsidP="00C463E9">
    <w:pPr>
      <w:spacing w:after="107" w:line="259" w:lineRule="auto"/>
      <w:ind w:left="-5" w:right="193"/>
      <w:jc w:val="center"/>
    </w:pPr>
    <w:r>
      <w:rPr>
        <w:b/>
      </w:rPr>
      <w:t>Apartado 1097-1200         Teléfono 2242-5050</w:t>
    </w:r>
    <w:r>
      <w:rPr>
        <w:rFonts w:ascii="Calibri" w:eastAsia="Calibri" w:hAnsi="Calibri" w:cs="Calibri"/>
        <w:sz w:val="22"/>
      </w:rPr>
      <w:t xml:space="preserve"> </w:t>
    </w:r>
  </w:p>
  <w:p w14:paraId="36EC9A42" w14:textId="77777777" w:rsidR="00C463E9" w:rsidRDefault="00C463E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87"/>
    <w:rsid w:val="00257076"/>
    <w:rsid w:val="00294C9A"/>
    <w:rsid w:val="00307955"/>
    <w:rsid w:val="00413168"/>
    <w:rsid w:val="0068708F"/>
    <w:rsid w:val="0077422D"/>
    <w:rsid w:val="00856073"/>
    <w:rsid w:val="008B3A47"/>
    <w:rsid w:val="008C6887"/>
    <w:rsid w:val="00981971"/>
    <w:rsid w:val="00AC3BAD"/>
    <w:rsid w:val="00AC6EEA"/>
    <w:rsid w:val="00C463E9"/>
    <w:rsid w:val="00D84E3D"/>
    <w:rsid w:val="00DF71BB"/>
    <w:rsid w:val="00E17E16"/>
    <w:rsid w:val="00E91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0F594"/>
  <w15:docId w15:val="{5C78E4EF-8EDB-4A40-95CC-9A5400CB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0" w:line="250" w:lineRule="auto"/>
      <w:ind w:left="10" w:right="56"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2detindependiente4">
    <w:name w:val="Sangría 2 de t. independiente4"/>
    <w:basedOn w:val="Normal"/>
    <w:rsid w:val="00C463E9"/>
    <w:pPr>
      <w:suppressAutoHyphens/>
      <w:spacing w:after="0" w:line="240" w:lineRule="auto"/>
      <w:ind w:left="720" w:right="0" w:firstLine="0"/>
      <w:textAlignment w:val="baseline"/>
    </w:pPr>
    <w:rPr>
      <w:rFonts w:ascii="Courier New" w:eastAsia="Times New Roman" w:hAnsi="Courier New" w:cs="Courier New"/>
      <w:color w:val="auto"/>
      <w:kern w:val="1"/>
      <w:sz w:val="20"/>
      <w:szCs w:val="20"/>
      <w:lang w:val="es-CR" w:eastAsia="ar-SA"/>
    </w:rPr>
  </w:style>
  <w:style w:type="paragraph" w:styleId="Encabezado">
    <w:name w:val="header"/>
    <w:basedOn w:val="Normal"/>
    <w:link w:val="EncabezadoCar"/>
    <w:uiPriority w:val="99"/>
    <w:unhideWhenUsed/>
    <w:rsid w:val="00C46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63E9"/>
    <w:rPr>
      <w:rFonts w:ascii="Arial" w:eastAsia="Arial" w:hAnsi="Arial" w:cs="Arial"/>
      <w:color w:val="000000"/>
      <w:sz w:val="24"/>
    </w:rPr>
  </w:style>
  <w:style w:type="paragraph" w:styleId="Piedepgina">
    <w:name w:val="footer"/>
    <w:basedOn w:val="Normal"/>
    <w:link w:val="PiedepginaCar"/>
    <w:uiPriority w:val="99"/>
    <w:unhideWhenUsed/>
    <w:rsid w:val="00C46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63E9"/>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020C3B2D573F345A6D4940144AE1DBE" ma:contentTypeVersion="2" ma:contentTypeDescription="Crear nuevo documento." ma:contentTypeScope="" ma:versionID="0de0b30cebb334a1e44ecd89db6cd7b3">
  <xsd:schema xmlns:xsd="http://www.w3.org/2001/XMLSchema" xmlns:xs="http://www.w3.org/2001/XMLSchema" xmlns:p="http://schemas.microsoft.com/office/2006/metadata/properties" xmlns:ns2="e68a7591-65f0-4645-b342-0e87a91376d5" targetNamespace="http://schemas.microsoft.com/office/2006/metadata/properties" ma:root="true" ma:fieldsID="07c0176bc87653e367986c12c296f2b6" ns2:_="">
    <xsd:import namespace="e68a7591-65f0-4645-b342-0e87a91376d5"/>
    <xsd:element name="properties">
      <xsd:complexType>
        <xsd:sequence>
          <xsd:element name="documentManagement">
            <xsd:complexType>
              <xsd:all>
                <xsd:element ref="ns2:Descarg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a7591-65f0-4645-b342-0e87a91376d5" elementFormDefault="qualified">
    <xsd:import namespace="http://schemas.microsoft.com/office/2006/documentManagement/types"/>
    <xsd:import namespace="http://schemas.microsoft.com/office/infopath/2007/PartnerControls"/>
    <xsd:element name="Descargar" ma:index="8" nillable="true" ma:displayName="Descargar" ma:default="&amp;lt;a class-&amp;quot;ms-listlink ms-draggable&amp;quot; onclick-&amp;quot;return DispEx(this,event,&amp;#39;TRUE&amp;#39;,&amp;#39;FALSE&amp;#39;,&amp;#39;FALSE&amp;#39;,&amp;#39;SharePoint.OpenDocuments.3&amp;#39;,&amp;#39;1&amp;#39;1&amp;#39;1&amp;#39;1&amp;#39;1&amp;#39;1&amp;#39;1&amp;#39;1&amp;#39;,&amp;#39;SharePoint.OpenDocuments&amp;#39;,&amp;#39;&amp;#39;&amp;#39;&amp;#39;&amp;#39;&amp;#39;,&amp;#39;&amp;#39;&amp;#39;,&amp;#39;&amp;#39;1&amp;#39;,&amp;#39;0&amp;#39;,&amp;#39;0&amp;#39;,&amp;#39;0x7fffffffffff&amp;#39;)&amp;quot; href&amp;#39;&amp;quot;[%Elemento actual: URL relativa del servidor%]&amp;quot; DragId&amp;quot;&amp;quot;7&amp;quot;&amp;gt;Prueba&amp;lt;/a&amp;gt;" ma:description="" ma:internalName="Descarga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argar xmlns="e68a7591-65f0-4645-b342-0e87a91376d5">&lt;a class="ms-listlink ms-draggable" target="_blank" href="/transparenciaInst/_layouts/download.aspx?SourceUrl=https%3a//www.aya.go.cr/transparenciaInst/rendicion_cuentas/InforEspAuditoria/Informes%202019/AU-2019-00001.docx"&gt;
&lt;img unselectable="on" alt="" src="/transparenciaInst/datos_abiertos/Activos%20del%20Sitio/descargar.png" style="top:0px;left:-320px" /&gt;&lt;/a&gt;</Descargar>
  </documentManagement>
</p:properties>
</file>

<file path=customXml/itemProps1.xml><?xml version="1.0" encoding="utf-8"?>
<ds:datastoreItem xmlns:ds="http://schemas.openxmlformats.org/officeDocument/2006/customXml" ds:itemID="{E41AC3E8-11D7-4740-9472-D3269AD3B7EE}"/>
</file>

<file path=customXml/itemProps2.xml><?xml version="1.0" encoding="utf-8"?>
<ds:datastoreItem xmlns:ds="http://schemas.openxmlformats.org/officeDocument/2006/customXml" ds:itemID="{645E96CC-693F-4173-9B0F-94A61C63113E}"/>
</file>

<file path=customXml/itemProps3.xml><?xml version="1.0" encoding="utf-8"?>
<ds:datastoreItem xmlns:ds="http://schemas.openxmlformats.org/officeDocument/2006/customXml" ds:itemID="{3AC86819-E5AB-40F2-9D0B-67111D425233}"/>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2337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AU-2019-00001 </dc:title>
  <dc:subject/>
  <dc:creator>Nancy Gonzalez Carrillo</dc:creator>
  <cp:keywords/>
  <cp:lastModifiedBy>Nancy Gonzalez Carrillo</cp:lastModifiedBy>
  <cp:revision>3</cp:revision>
  <cp:lastPrinted>2019-02-22T21:48:00Z</cp:lastPrinted>
  <dcterms:created xsi:type="dcterms:W3CDTF">2019-02-22T21:49:00Z</dcterms:created>
  <dcterms:modified xsi:type="dcterms:W3CDTF">2019-05-07T16:47:00Z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0x010100C020C3B2D573F345A6D4940144AE1DBE</vt:lpwstr>
  </property>
  <property fmtid="{D5CDD505-2E9C-101B-9397-08002B2CF9AE}" pid="3" name="WorkflowChangePath">
    <vt:lpwstr>8e6a93d3-fd67-4b2b-9c83-4e67faf5ff90,2;0db8ce61-d9f4-4a02-83e9-d79846e59b90,3;</vt:lpwstr>
  </property>
</Properties>
</file>